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03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20.07.2023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24.10.2024 </w:t>
      </w:r>
      <w:r>
        <w:rPr>
          <w:rFonts w:ascii="Times New Roman" w:eastAsia="Times New Roman" w:hAnsi="Times New Roman" w:cs="Times New Roman"/>
          <w:sz w:val="26"/>
          <w:szCs w:val="26"/>
        </w:rPr>
        <w:t>по ч.1 ст.19.24 КоАП РФ на основании постановления (вступило в законную силу 04.11.2024)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кв.5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в течении одного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20.07.2023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 на регистрацию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ОУУП и ПНД </w:t>
      </w:r>
      <w:r>
        <w:rPr>
          <w:rFonts w:ascii="Times New Roman" w:eastAsia="Times New Roman" w:hAnsi="Times New Roman" w:cs="Times New Roman"/>
          <w:sz w:val="26"/>
          <w:szCs w:val="26"/>
        </w:rPr>
        <w:t>МО МВД России «Ханты-Мансийский» в 2-й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вторник 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забыл о данной явке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382881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20.07.2023;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графика прибытия поднадзорного лица на регистрацию в органы внутренних дел от 21.09.2023; копией регистрационного листа поднадзорного лица от 21.09.2024; копией постановления по делу об административном правонарушении от 24.10.2024;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от 02.11.2024,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